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9A07" w14:textId="77777777" w:rsidR="00085ED5" w:rsidRDefault="00512548" w:rsidP="006B5A4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1A86B" wp14:editId="63D6DBF3">
                <wp:simplePos x="0" y="0"/>
                <wp:positionH relativeFrom="margin">
                  <wp:posOffset>-76200</wp:posOffset>
                </wp:positionH>
                <wp:positionV relativeFrom="paragraph">
                  <wp:posOffset>0</wp:posOffset>
                </wp:positionV>
                <wp:extent cx="409956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480" y="20880"/>
                    <wp:lineTo x="21480" y="0"/>
                    <wp:lineTo x="0" y="0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8012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680F4" w14:textId="77777777" w:rsidR="005D7FA1" w:rsidRDefault="00B13A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CEAA4" wp14:editId="742272DC">
                                  <wp:extent cx="3335090" cy="33395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rztl-wht-wordmark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4398" cy="333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1A86B" id="AutoShape 2" o:spid="_x0000_s1026" style="position:absolute;margin-left:-6pt;margin-top:0;width:322.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" fillcolor="#e8012b" stroked="f" strokecolor="red" strokeweight="1.5pt">
                <v:shadow opacity="22938f" offset="0"/>
                <v:textbox inset=",7.2pt,,7.2pt">
                  <w:txbxContent>
                    <w:p w14:paraId="65B680F4" w14:textId="77777777" w:rsidR="005D7FA1" w:rsidRDefault="00B13AA8">
                      <w:r>
                        <w:rPr>
                          <w:noProof/>
                        </w:rPr>
                        <w:drawing>
                          <wp:inline distT="0" distB="0" distL="0" distR="0" wp14:anchorId="56DCEAA4" wp14:editId="742272DC">
                            <wp:extent cx="3335090" cy="33395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rztl-wht-wordmark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4398" cy="333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0EA45" wp14:editId="37E82F9C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667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30015" w14:textId="77777777" w:rsidR="00141446" w:rsidRPr="00141446" w:rsidRDefault="00141446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</w:rPr>
                            </w:pPr>
                            <w:r w:rsidRPr="00141446"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</w:rPr>
                              <w:t>Undergraduate Research, Scholarly and Creative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C0E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8.8pt;margin-top:2.4pt;width:210pt;height:110.5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" filled="f" stroked="f">
                <v:textbox style="mso-fit-shape-to-text:t">
                  <w:txbxContent>
                    <w:p w14:paraId="6D930015" w14:textId="77777777" w:rsidR="00141446" w:rsidRPr="00141446" w:rsidRDefault="00141446">
                      <w:pPr>
                        <w:rPr>
                          <w:rFonts w:ascii="Georgia" w:hAnsi="Georgia"/>
                          <w:color w:val="FFFFFF" w:themeColor="background1"/>
                          <w:sz w:val="28"/>
                        </w:rPr>
                      </w:pPr>
                      <w:r w:rsidRPr="00141446">
                        <w:rPr>
                          <w:rFonts w:ascii="Georgia" w:hAnsi="Georgia"/>
                          <w:color w:val="FFFFFF" w:themeColor="background1"/>
                          <w:sz w:val="28"/>
                        </w:rPr>
                        <w:t>Undergraduate Research, Scholarly and Creative 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745A4" wp14:editId="37B799D7">
                <wp:simplePos x="0" y="0"/>
                <wp:positionH relativeFrom="margin">
                  <wp:posOffset>4183380</wp:posOffset>
                </wp:positionH>
                <wp:positionV relativeFrom="paragraph">
                  <wp:posOffset>0</wp:posOffset>
                </wp:positionV>
                <wp:extent cx="2741295" cy="571500"/>
                <wp:effectExtent l="0" t="0" r="1905" b="0"/>
                <wp:wrapTight wrapText="bothSides">
                  <wp:wrapPolygon edited="0">
                    <wp:start x="0" y="0"/>
                    <wp:lineTo x="0" y="20880"/>
                    <wp:lineTo x="21465" y="20880"/>
                    <wp:lineTo x="21465" y="0"/>
                    <wp:lineTo x="0" y="0"/>
                  </wp:wrapPolygon>
                </wp:wrapTight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29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0C733" id="AutoShape 3" o:spid="_x0000_s1026" style="position:absolute;margin-left:329.4pt;margin-top:0;width:215.8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" fillcolor="#bfbfbf" stroked="f" strokecolor="#4a7ebb" strokeweight="1.5pt">
                <v:shadow opacity="22938f" offset="0"/>
                <v:textbox inset=",7.2pt,,7.2pt"/>
                <w10:wrap type="tight" anchorx="margin"/>
              </v:roundrect>
            </w:pict>
          </mc:Fallback>
        </mc:AlternateContent>
      </w:r>
    </w:p>
    <w:p w14:paraId="461EA761" w14:textId="77777777" w:rsidR="006B5A48" w:rsidRPr="00512B84" w:rsidRDefault="006B5A48" w:rsidP="00512B84">
      <w:pPr>
        <w:rPr>
          <w:sz w:val="20"/>
        </w:rPr>
        <w:sectPr w:rsidR="006B5A48" w:rsidRPr="00512B84" w:rsidSect="00512548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21080DDB" w14:textId="77777777" w:rsidR="00E552AF" w:rsidRDefault="00EB25F6" w:rsidP="00C030D9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6"/>
        </w:rPr>
      </w:pPr>
      <w:r>
        <w:rPr>
          <w:rFonts w:asciiTheme="minorHAnsi" w:hAnsiTheme="minorHAnsi"/>
          <w:b/>
          <w:bCs/>
          <w:sz w:val="28"/>
          <w:szCs w:val="26"/>
        </w:rPr>
        <w:t xml:space="preserve">Falcon Travel </w:t>
      </w:r>
      <w:r w:rsidR="004B4CDA">
        <w:rPr>
          <w:rFonts w:asciiTheme="minorHAnsi" w:hAnsiTheme="minorHAnsi"/>
          <w:b/>
          <w:bCs/>
          <w:sz w:val="28"/>
          <w:szCs w:val="26"/>
        </w:rPr>
        <w:t>Grant</w:t>
      </w:r>
    </w:p>
    <w:p w14:paraId="4D084753" w14:textId="77777777" w:rsidR="003057E3" w:rsidRPr="00512B84" w:rsidRDefault="003057E3" w:rsidP="00C030D9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</w:p>
    <w:p w14:paraId="51A520E7" w14:textId="77777777" w:rsidR="00EB25F6" w:rsidRPr="00512B84" w:rsidRDefault="006B7A08" w:rsidP="00C030D9">
      <w:p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 xml:space="preserve">The </w:t>
      </w:r>
      <w:r w:rsidR="00EB25F6" w:rsidRPr="00512B84">
        <w:rPr>
          <w:rFonts w:asciiTheme="minorHAnsi" w:hAnsiTheme="minorHAnsi"/>
          <w:sz w:val="22"/>
          <w:szCs w:val="22"/>
        </w:rPr>
        <w:t>Falcon Travel Grant competition</w:t>
      </w:r>
      <w:r w:rsidR="00B273BE" w:rsidRPr="00512B84">
        <w:rPr>
          <w:rFonts w:asciiTheme="minorHAnsi" w:hAnsiTheme="minorHAnsi"/>
          <w:sz w:val="22"/>
          <w:szCs w:val="22"/>
        </w:rPr>
        <w:t xml:space="preserve"> </w:t>
      </w:r>
      <w:r w:rsidR="00691364" w:rsidRPr="00512B84">
        <w:rPr>
          <w:rFonts w:asciiTheme="minorHAnsi" w:hAnsiTheme="minorHAnsi"/>
          <w:sz w:val="22"/>
          <w:szCs w:val="22"/>
        </w:rPr>
        <w:t>is intended to</w:t>
      </w:r>
      <w:r w:rsidR="00C030D9" w:rsidRPr="00512B84">
        <w:rPr>
          <w:rFonts w:asciiTheme="minorHAnsi" w:hAnsiTheme="minorHAnsi"/>
          <w:sz w:val="22"/>
          <w:szCs w:val="22"/>
        </w:rPr>
        <w:t xml:space="preserve"> support URSCA student </w:t>
      </w:r>
      <w:r w:rsidR="00EB25F6" w:rsidRPr="00512B84">
        <w:rPr>
          <w:rFonts w:asciiTheme="minorHAnsi" w:hAnsiTheme="minorHAnsi"/>
          <w:sz w:val="22"/>
          <w:szCs w:val="22"/>
        </w:rPr>
        <w:t xml:space="preserve">travel to professional </w:t>
      </w:r>
      <w:r w:rsidR="00C030D9" w:rsidRPr="00512B84">
        <w:rPr>
          <w:rFonts w:asciiTheme="minorHAnsi" w:hAnsiTheme="minorHAnsi"/>
          <w:sz w:val="22"/>
          <w:szCs w:val="22"/>
        </w:rPr>
        <w:t xml:space="preserve">conferences or events.  </w:t>
      </w:r>
      <w:r w:rsidR="007818F1" w:rsidRPr="00512B84">
        <w:rPr>
          <w:rFonts w:asciiTheme="minorHAnsi" w:hAnsiTheme="minorHAnsi"/>
          <w:sz w:val="22"/>
          <w:szCs w:val="22"/>
        </w:rPr>
        <w:t xml:space="preserve">Funds may be used for travel </w:t>
      </w:r>
      <w:r w:rsidR="00EB25F6" w:rsidRPr="00512B84">
        <w:rPr>
          <w:rFonts w:asciiTheme="minorHAnsi" w:hAnsiTheme="minorHAnsi"/>
          <w:sz w:val="22"/>
          <w:szCs w:val="22"/>
        </w:rPr>
        <w:t>expenses such as c</w:t>
      </w:r>
      <w:r w:rsidR="00C030D9" w:rsidRPr="00512B84">
        <w:rPr>
          <w:rFonts w:asciiTheme="minorHAnsi" w:hAnsiTheme="minorHAnsi"/>
          <w:sz w:val="22"/>
          <w:szCs w:val="22"/>
        </w:rPr>
        <w:t>onference registration, lodging</w:t>
      </w:r>
      <w:r w:rsidR="00EB25F6" w:rsidRPr="00512B84">
        <w:rPr>
          <w:rFonts w:asciiTheme="minorHAnsi" w:hAnsiTheme="minorHAnsi"/>
          <w:sz w:val="22"/>
          <w:szCs w:val="22"/>
        </w:rPr>
        <w:t xml:space="preserve"> </w:t>
      </w:r>
      <w:r w:rsidR="00C030D9" w:rsidRPr="00512B84">
        <w:rPr>
          <w:rFonts w:asciiTheme="minorHAnsi" w:hAnsiTheme="minorHAnsi"/>
          <w:sz w:val="22"/>
          <w:szCs w:val="22"/>
        </w:rPr>
        <w:t xml:space="preserve">and </w:t>
      </w:r>
      <w:r w:rsidR="00EB25F6" w:rsidRPr="00512B84">
        <w:rPr>
          <w:rFonts w:asciiTheme="minorHAnsi" w:hAnsiTheme="minorHAnsi"/>
          <w:sz w:val="22"/>
          <w:szCs w:val="22"/>
        </w:rPr>
        <w:t>transportation.</w:t>
      </w:r>
      <w:r w:rsidR="00691364" w:rsidRPr="00512B84">
        <w:rPr>
          <w:rFonts w:asciiTheme="minorHAnsi" w:hAnsiTheme="minorHAnsi"/>
          <w:sz w:val="22"/>
          <w:szCs w:val="22"/>
        </w:rPr>
        <w:t xml:space="preserve">  </w:t>
      </w:r>
      <w:r w:rsidR="002E5E8E" w:rsidRPr="00512B84">
        <w:rPr>
          <w:rFonts w:asciiTheme="minorHAnsi" w:hAnsiTheme="minorHAnsi"/>
          <w:sz w:val="22"/>
          <w:szCs w:val="22"/>
        </w:rPr>
        <w:t xml:space="preserve">Applications </w:t>
      </w:r>
      <w:r w:rsidR="007818F1" w:rsidRPr="00512B84">
        <w:rPr>
          <w:rFonts w:asciiTheme="minorHAnsi" w:hAnsiTheme="minorHAnsi"/>
          <w:sz w:val="22"/>
          <w:szCs w:val="22"/>
        </w:rPr>
        <w:t xml:space="preserve">for these competitive grants </w:t>
      </w:r>
      <w:r w:rsidR="002E5E8E" w:rsidRPr="00512B84">
        <w:rPr>
          <w:rFonts w:asciiTheme="minorHAnsi" w:hAnsiTheme="minorHAnsi"/>
          <w:sz w:val="22"/>
          <w:szCs w:val="22"/>
        </w:rPr>
        <w:t>are welcome from all colleges and disciplines</w:t>
      </w:r>
      <w:r w:rsidR="004B4CDA" w:rsidRPr="00512B84">
        <w:rPr>
          <w:rFonts w:asciiTheme="minorHAnsi" w:hAnsiTheme="minorHAnsi"/>
          <w:sz w:val="22"/>
          <w:szCs w:val="22"/>
        </w:rPr>
        <w:t xml:space="preserve">.  </w:t>
      </w:r>
      <w:r w:rsidR="007818F1" w:rsidRPr="00512B84">
        <w:rPr>
          <w:rFonts w:asciiTheme="minorHAnsi" w:hAnsiTheme="minorHAnsi"/>
          <w:sz w:val="22"/>
          <w:szCs w:val="22"/>
        </w:rPr>
        <w:t xml:space="preserve">Grant </w:t>
      </w:r>
      <w:r w:rsidR="00C030D9" w:rsidRPr="00512B84">
        <w:rPr>
          <w:rFonts w:asciiTheme="minorHAnsi" w:hAnsiTheme="minorHAnsi"/>
          <w:sz w:val="22"/>
          <w:szCs w:val="22"/>
        </w:rPr>
        <w:t>funds may be used for individual</w:t>
      </w:r>
      <w:r w:rsidR="00EB25F6" w:rsidRPr="00512B84">
        <w:rPr>
          <w:rFonts w:asciiTheme="minorHAnsi" w:hAnsiTheme="minorHAnsi"/>
          <w:sz w:val="22"/>
          <w:szCs w:val="22"/>
        </w:rPr>
        <w:t xml:space="preserve"> </w:t>
      </w:r>
      <w:r w:rsidR="007818F1" w:rsidRPr="00512B84">
        <w:rPr>
          <w:rFonts w:asciiTheme="minorHAnsi" w:hAnsiTheme="minorHAnsi"/>
          <w:sz w:val="22"/>
          <w:szCs w:val="22"/>
        </w:rPr>
        <w:t xml:space="preserve">or </w:t>
      </w:r>
      <w:r w:rsidR="00EB25F6" w:rsidRPr="00512B84">
        <w:rPr>
          <w:rFonts w:asciiTheme="minorHAnsi" w:hAnsiTheme="minorHAnsi"/>
          <w:sz w:val="22"/>
          <w:szCs w:val="22"/>
        </w:rPr>
        <w:t>group travel</w:t>
      </w:r>
      <w:r w:rsidR="00C030D9" w:rsidRPr="00512B84">
        <w:rPr>
          <w:rFonts w:asciiTheme="minorHAnsi" w:hAnsiTheme="minorHAnsi"/>
          <w:sz w:val="22"/>
          <w:szCs w:val="22"/>
        </w:rPr>
        <w:t xml:space="preserve">.  Grant applications should be </w:t>
      </w:r>
      <w:r w:rsidR="007818F1" w:rsidRPr="00512B84">
        <w:rPr>
          <w:rFonts w:asciiTheme="minorHAnsi" w:hAnsiTheme="minorHAnsi"/>
          <w:sz w:val="22"/>
          <w:szCs w:val="22"/>
        </w:rPr>
        <w:t xml:space="preserve">student-authored, with supervision and guidance from the faculty mentor. </w:t>
      </w:r>
      <w:r w:rsidR="001563C5" w:rsidRPr="00512B84">
        <w:rPr>
          <w:rFonts w:asciiTheme="minorHAnsi" w:hAnsiTheme="minorHAnsi"/>
          <w:sz w:val="22"/>
          <w:szCs w:val="22"/>
        </w:rPr>
        <w:t xml:space="preserve"> </w:t>
      </w:r>
    </w:p>
    <w:p w14:paraId="46EC3162" w14:textId="77777777" w:rsidR="00C030D9" w:rsidRPr="00512B84" w:rsidRDefault="00C030D9" w:rsidP="00C030D9">
      <w:pPr>
        <w:rPr>
          <w:rFonts w:asciiTheme="minorHAnsi" w:hAnsiTheme="minorHAnsi"/>
          <w:sz w:val="22"/>
          <w:szCs w:val="22"/>
        </w:rPr>
      </w:pPr>
    </w:p>
    <w:p w14:paraId="6E2F52EB" w14:textId="77777777" w:rsidR="00C030D9" w:rsidRPr="00512B84" w:rsidRDefault="009313DE" w:rsidP="00512B84">
      <w:p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Funding:</w:t>
      </w:r>
    </w:p>
    <w:p w14:paraId="288CE4CD" w14:textId="77777777" w:rsidR="00512B84" w:rsidRPr="00512B84" w:rsidRDefault="00512B84" w:rsidP="00512B84">
      <w:pPr>
        <w:numPr>
          <w:ilvl w:val="0"/>
          <w:numId w:val="24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For URSCA students who are included in the conference program as </w:t>
      </w:r>
      <w:r w:rsidRPr="00512B84">
        <w:rPr>
          <w:rFonts w:asciiTheme="minorHAnsi" w:eastAsia="Times New Roman" w:hAnsiTheme="minorHAnsi"/>
          <w:b/>
          <w:bCs/>
          <w:color w:val="000000"/>
          <w:sz w:val="22"/>
          <w:szCs w:val="22"/>
        </w:rPr>
        <w:t>presenting</w:t>
      </w: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 authors or displaying their original URSCA projects at a professional conference or event.  </w:t>
      </w:r>
    </w:p>
    <w:p w14:paraId="403267D0" w14:textId="4C26C69F" w:rsidR="00512B84" w:rsidRDefault="00512B84" w:rsidP="00512B84">
      <w:pPr>
        <w:numPr>
          <w:ilvl w:val="1"/>
          <w:numId w:val="24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Individual:  eligible for up to $</w:t>
      </w:r>
      <w:r w:rsidR="007B419A">
        <w:rPr>
          <w:rFonts w:asciiTheme="minorHAnsi" w:eastAsia="Times New Roman" w:hAnsiTheme="minorHAnsi"/>
          <w:color w:val="000000"/>
          <w:sz w:val="22"/>
          <w:szCs w:val="22"/>
        </w:rPr>
        <w:t>1,</w:t>
      </w:r>
      <w:r w:rsidR="00E9100C">
        <w:rPr>
          <w:rFonts w:asciiTheme="minorHAnsi" w:eastAsia="Times New Roman" w:hAnsiTheme="minorHAnsi"/>
          <w:color w:val="000000"/>
          <w:sz w:val="22"/>
          <w:szCs w:val="22"/>
        </w:rPr>
        <w:t>6</w:t>
      </w: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00.00 </w:t>
      </w:r>
    </w:p>
    <w:p w14:paraId="452DBA16" w14:textId="77777777" w:rsidR="00E9100C" w:rsidRPr="00E9100C" w:rsidRDefault="00E9100C" w:rsidP="00E9100C">
      <w:pPr>
        <w:numPr>
          <w:ilvl w:val="1"/>
          <w:numId w:val="24"/>
        </w:numPr>
        <w:shd w:val="clear" w:color="auto" w:fill="FFFFFF"/>
        <w:rPr>
          <w:rFonts w:ascii="Calibri" w:hAnsi="Calibri" w:cs="Calibri"/>
          <w:i/>
          <w:sz w:val="20"/>
          <w:szCs w:val="22"/>
        </w:rPr>
      </w:pPr>
      <w:proofErr w:type="gramStart"/>
      <w:r w:rsidRPr="00E9100C">
        <w:rPr>
          <w:rFonts w:asciiTheme="minorHAnsi" w:eastAsia="Times New Roman" w:hAnsiTheme="minorHAnsi"/>
          <w:color w:val="000000"/>
          <w:sz w:val="22"/>
          <w:szCs w:val="22"/>
        </w:rPr>
        <w:t xml:space="preserve">Group </w:t>
      </w:r>
      <w:r>
        <w:t xml:space="preserve"> </w:t>
      </w:r>
      <w:r w:rsidRPr="00E9100C">
        <w:rPr>
          <w:sz w:val="22"/>
          <w:szCs w:val="22"/>
        </w:rPr>
        <w:t>(</w:t>
      </w:r>
      <w:proofErr w:type="gramEnd"/>
      <w:r w:rsidRPr="00E9100C">
        <w:rPr>
          <w:rFonts w:ascii="Calibri" w:hAnsi="Calibri" w:cs="Calibri"/>
          <w:sz w:val="22"/>
          <w:szCs w:val="22"/>
        </w:rPr>
        <w:t xml:space="preserve">i.e. A group of URSCA students traveling together to attend the same conference or event): eligible for funding with shared </w:t>
      </w:r>
      <w:proofErr w:type="gramStart"/>
      <w:r w:rsidRPr="00E9100C">
        <w:rPr>
          <w:rFonts w:ascii="Calibri" w:hAnsi="Calibri" w:cs="Calibri"/>
          <w:sz w:val="22"/>
          <w:szCs w:val="22"/>
        </w:rPr>
        <w:t>accommodations</w:t>
      </w:r>
      <w:proofErr w:type="gramEnd"/>
      <w:r w:rsidRPr="00E9100C">
        <w:rPr>
          <w:rFonts w:ascii="Calibri" w:hAnsi="Calibri" w:cs="Calibri"/>
          <w:sz w:val="22"/>
          <w:szCs w:val="22"/>
        </w:rPr>
        <w:t xml:space="preserve"> and travel arrangements.</w:t>
      </w:r>
    </w:p>
    <w:p w14:paraId="069E9071" w14:textId="77777777" w:rsidR="00E9100C" w:rsidRPr="00512B84" w:rsidRDefault="00E9100C" w:rsidP="00E9100C">
      <w:pPr>
        <w:shd w:val="clear" w:color="auto" w:fill="FFFFFF"/>
        <w:ind w:left="1440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7620377F" w14:textId="77777777" w:rsidR="00512B84" w:rsidRPr="00512B84" w:rsidRDefault="00512B84" w:rsidP="00512B84">
      <w:pPr>
        <w:numPr>
          <w:ilvl w:val="0"/>
          <w:numId w:val="24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For URSCA students who are included in the conference program as </w:t>
      </w:r>
      <w:r w:rsidRPr="00512B84">
        <w:rPr>
          <w:rFonts w:asciiTheme="minorHAnsi" w:eastAsia="Times New Roman" w:hAnsiTheme="minorHAnsi"/>
          <w:b/>
          <w:bCs/>
          <w:color w:val="000000"/>
          <w:sz w:val="22"/>
          <w:szCs w:val="22"/>
        </w:rPr>
        <w:t>participating or performing</w:t>
      </w: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 at a professional conference or event as a professional development opportunity. </w:t>
      </w:r>
    </w:p>
    <w:p w14:paraId="4CFDFF38" w14:textId="16D05382" w:rsidR="00512B84" w:rsidRDefault="00512B84" w:rsidP="00512B84">
      <w:pPr>
        <w:numPr>
          <w:ilvl w:val="1"/>
          <w:numId w:val="24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Individual: eligible for up to $</w:t>
      </w:r>
      <w:r w:rsidR="006D4F4B">
        <w:rPr>
          <w:rFonts w:asciiTheme="minorHAnsi" w:eastAsia="Times New Roman" w:hAnsiTheme="minorHAnsi"/>
          <w:color w:val="000000"/>
          <w:sz w:val="22"/>
          <w:szCs w:val="22"/>
        </w:rPr>
        <w:t>12</w:t>
      </w:r>
      <w:r w:rsidR="00083F4C">
        <w:rPr>
          <w:rFonts w:asciiTheme="minorHAnsi" w:eastAsia="Times New Roman" w:hAnsiTheme="minorHAnsi"/>
          <w:color w:val="000000"/>
          <w:sz w:val="22"/>
          <w:szCs w:val="22"/>
        </w:rPr>
        <w:t>0</w:t>
      </w: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0.00</w:t>
      </w:r>
    </w:p>
    <w:p w14:paraId="6FBD1DD0" w14:textId="77777777" w:rsidR="00E9100C" w:rsidRPr="00E9100C" w:rsidRDefault="00E9100C" w:rsidP="00E9100C">
      <w:pPr>
        <w:numPr>
          <w:ilvl w:val="1"/>
          <w:numId w:val="24"/>
        </w:numPr>
        <w:shd w:val="clear" w:color="auto" w:fill="FFFFFF"/>
        <w:rPr>
          <w:rFonts w:ascii="Calibri" w:hAnsi="Calibri" w:cs="Calibri"/>
          <w:i/>
          <w:sz w:val="20"/>
          <w:szCs w:val="22"/>
        </w:rPr>
      </w:pPr>
      <w:proofErr w:type="gramStart"/>
      <w:r w:rsidRPr="00E9100C">
        <w:rPr>
          <w:rFonts w:asciiTheme="minorHAnsi" w:eastAsia="Times New Roman" w:hAnsiTheme="minorHAnsi"/>
          <w:color w:val="000000"/>
          <w:sz w:val="22"/>
          <w:szCs w:val="22"/>
        </w:rPr>
        <w:t xml:space="preserve">Group </w:t>
      </w:r>
      <w:r>
        <w:t xml:space="preserve"> </w:t>
      </w:r>
      <w:r w:rsidRPr="00E9100C">
        <w:rPr>
          <w:sz w:val="22"/>
          <w:szCs w:val="22"/>
        </w:rPr>
        <w:t>(</w:t>
      </w:r>
      <w:proofErr w:type="gramEnd"/>
      <w:r w:rsidRPr="00E9100C">
        <w:rPr>
          <w:rFonts w:ascii="Calibri" w:hAnsi="Calibri" w:cs="Calibri"/>
          <w:sz w:val="22"/>
          <w:szCs w:val="22"/>
        </w:rPr>
        <w:t xml:space="preserve">i.e. A group of URSCA students traveling together to attend the same conference or event): eligible for funding with shared </w:t>
      </w:r>
      <w:proofErr w:type="gramStart"/>
      <w:r w:rsidRPr="00E9100C">
        <w:rPr>
          <w:rFonts w:ascii="Calibri" w:hAnsi="Calibri" w:cs="Calibri"/>
          <w:sz w:val="22"/>
          <w:szCs w:val="22"/>
        </w:rPr>
        <w:t>accommodations</w:t>
      </w:r>
      <w:proofErr w:type="gramEnd"/>
      <w:r w:rsidRPr="00E9100C">
        <w:rPr>
          <w:rFonts w:ascii="Calibri" w:hAnsi="Calibri" w:cs="Calibri"/>
          <w:sz w:val="22"/>
          <w:szCs w:val="22"/>
        </w:rPr>
        <w:t xml:space="preserve"> and travel arrangements.</w:t>
      </w:r>
    </w:p>
    <w:p w14:paraId="0C27C915" w14:textId="77777777" w:rsidR="00E9100C" w:rsidRPr="00512B84" w:rsidRDefault="00E9100C" w:rsidP="00E9100C">
      <w:p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</w:p>
    <w:p w14:paraId="5184A732" w14:textId="77777777" w:rsidR="00512B84" w:rsidRPr="00512B84" w:rsidRDefault="00512B84" w:rsidP="00512B84">
      <w:pPr>
        <w:numPr>
          <w:ilvl w:val="0"/>
          <w:numId w:val="25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For URSCA students who are </w:t>
      </w:r>
      <w:r w:rsidRPr="00512B84">
        <w:rPr>
          <w:rFonts w:asciiTheme="minorHAnsi" w:eastAsia="Times New Roman" w:hAnsiTheme="minorHAnsi"/>
          <w:b/>
          <w:bCs/>
          <w:color w:val="000000"/>
          <w:sz w:val="22"/>
          <w:szCs w:val="22"/>
        </w:rPr>
        <w:t>attending</w:t>
      </w: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 a conference or event as a professional development opportunity</w:t>
      </w:r>
    </w:p>
    <w:p w14:paraId="6A6E8ACC" w14:textId="631F8E0F" w:rsidR="00E9100C" w:rsidRDefault="00512B84" w:rsidP="00E9100C">
      <w:pPr>
        <w:numPr>
          <w:ilvl w:val="1"/>
          <w:numId w:val="25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Individual: eligible for up to $</w:t>
      </w:r>
      <w:r w:rsidR="006D4F4B">
        <w:rPr>
          <w:rFonts w:asciiTheme="minorHAnsi" w:eastAsia="Times New Roman" w:hAnsiTheme="minorHAnsi"/>
          <w:color w:val="000000"/>
          <w:sz w:val="22"/>
          <w:szCs w:val="22"/>
        </w:rPr>
        <w:t>6</w:t>
      </w:r>
      <w:r w:rsidRPr="00512B84">
        <w:rPr>
          <w:rFonts w:asciiTheme="minorHAnsi" w:eastAsia="Times New Roman" w:hAnsiTheme="minorHAnsi"/>
          <w:color w:val="000000"/>
          <w:sz w:val="22"/>
          <w:szCs w:val="22"/>
        </w:rPr>
        <w:t>00.00</w:t>
      </w:r>
    </w:p>
    <w:p w14:paraId="374F2DAD" w14:textId="3E58A995" w:rsidR="00E9100C" w:rsidRPr="00E9100C" w:rsidRDefault="00512B84" w:rsidP="00E9100C">
      <w:pPr>
        <w:numPr>
          <w:ilvl w:val="1"/>
          <w:numId w:val="25"/>
        </w:num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</w:rPr>
      </w:pPr>
      <w:r w:rsidRPr="00E9100C">
        <w:rPr>
          <w:rFonts w:asciiTheme="minorHAnsi" w:eastAsia="Times New Roman" w:hAnsiTheme="minorHAnsi"/>
          <w:color w:val="000000"/>
          <w:sz w:val="22"/>
          <w:szCs w:val="22"/>
        </w:rPr>
        <w:t xml:space="preserve">Group </w:t>
      </w:r>
      <w:r w:rsidR="00E9100C">
        <w:t xml:space="preserve"> </w:t>
      </w:r>
      <w:r w:rsidR="00E9100C" w:rsidRPr="00E9100C">
        <w:rPr>
          <w:sz w:val="22"/>
          <w:szCs w:val="22"/>
        </w:rPr>
        <w:t>(</w:t>
      </w:r>
      <w:r w:rsidR="00E9100C" w:rsidRPr="00E9100C">
        <w:rPr>
          <w:rFonts w:ascii="Calibri" w:hAnsi="Calibri" w:cs="Calibri"/>
          <w:sz w:val="22"/>
          <w:szCs w:val="22"/>
        </w:rPr>
        <w:t>i.e. A group of URSCA students traveling together to attend the same conference or event): eligible for funding with shared accommodations and travel arrangements.</w:t>
      </w:r>
    </w:p>
    <w:p w14:paraId="54729E11" w14:textId="77777777" w:rsidR="00E9100C" w:rsidRDefault="00E9100C" w:rsidP="00E9100C">
      <w:pPr>
        <w:shd w:val="clear" w:color="auto" w:fill="FFFFFF"/>
        <w:rPr>
          <w:rFonts w:asciiTheme="minorHAnsi" w:hAnsiTheme="minorHAnsi"/>
          <w:i/>
          <w:sz w:val="20"/>
          <w:szCs w:val="22"/>
        </w:rPr>
      </w:pPr>
    </w:p>
    <w:p w14:paraId="7D2290B1" w14:textId="7FAABF1C" w:rsidR="00F26238" w:rsidRPr="00E9100C" w:rsidRDefault="00F26238" w:rsidP="00E9100C">
      <w:pPr>
        <w:shd w:val="clear" w:color="auto" w:fill="FFFFFF"/>
        <w:rPr>
          <w:rFonts w:asciiTheme="minorHAnsi" w:hAnsiTheme="minorHAnsi"/>
          <w:i/>
          <w:sz w:val="20"/>
          <w:szCs w:val="22"/>
        </w:rPr>
      </w:pPr>
      <w:r w:rsidRPr="00E9100C">
        <w:rPr>
          <w:rFonts w:asciiTheme="minorHAnsi" w:hAnsiTheme="minorHAnsi"/>
          <w:i/>
          <w:sz w:val="20"/>
          <w:szCs w:val="22"/>
        </w:rPr>
        <w:t>Priority will be given to students in funding category 1.  Also, priority will be given to undergraduates whose applications include confirmation of acceptance to present at the conference or event.</w:t>
      </w:r>
    </w:p>
    <w:p w14:paraId="3215C340" w14:textId="77777777" w:rsidR="00C030D9" w:rsidRPr="00512B84" w:rsidRDefault="00C030D9" w:rsidP="00C030D9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07F03151" w14:textId="77777777" w:rsidR="009313DE" w:rsidRPr="00512B84" w:rsidRDefault="00F26238" w:rsidP="00C030D9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Criteria</w:t>
      </w:r>
      <w:r w:rsidR="00C030D9" w:rsidRPr="00512B84">
        <w:rPr>
          <w:rFonts w:asciiTheme="minorHAnsi" w:hAnsiTheme="minorHAnsi"/>
          <w:sz w:val="22"/>
          <w:szCs w:val="22"/>
        </w:rPr>
        <w:t>:</w:t>
      </w:r>
    </w:p>
    <w:p w14:paraId="24A09358" w14:textId="77777777" w:rsidR="009C2667" w:rsidRPr="00512B84" w:rsidRDefault="009C2667" w:rsidP="00C030D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It is expected that students traveling as a group will share lodging, transportation, etc. to reduce cost</w:t>
      </w:r>
      <w:r w:rsidR="00F26238" w:rsidRPr="00512B84">
        <w:rPr>
          <w:rFonts w:asciiTheme="minorHAnsi" w:hAnsiTheme="minorHAnsi"/>
          <w:sz w:val="22"/>
          <w:szCs w:val="22"/>
        </w:rPr>
        <w:t>.</w:t>
      </w:r>
    </w:p>
    <w:p w14:paraId="3F41632C" w14:textId="77777777" w:rsidR="00F26238" w:rsidRPr="00512B84" w:rsidRDefault="009C2667" w:rsidP="001D3FD4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Undergraduates are eligible to receive fundi</w:t>
      </w:r>
      <w:r w:rsidR="00C030D9" w:rsidRPr="00512B84">
        <w:rPr>
          <w:rFonts w:asciiTheme="minorHAnsi" w:hAnsiTheme="minorHAnsi"/>
          <w:sz w:val="22"/>
          <w:szCs w:val="22"/>
        </w:rPr>
        <w:t>ng for travel to one discipline-specific conference a year.  In addition</w:t>
      </w:r>
      <w:r w:rsidR="00DF7CDD" w:rsidRPr="00512B84">
        <w:rPr>
          <w:rFonts w:asciiTheme="minorHAnsi" w:hAnsiTheme="minorHAnsi"/>
          <w:sz w:val="22"/>
          <w:szCs w:val="22"/>
        </w:rPr>
        <w:t xml:space="preserve"> to eligibility for travel to one discipline-specific conference or event</w:t>
      </w:r>
      <w:r w:rsidR="00C030D9" w:rsidRPr="00512B84">
        <w:rPr>
          <w:rFonts w:asciiTheme="minorHAnsi" w:hAnsiTheme="minorHAnsi"/>
          <w:sz w:val="22"/>
          <w:szCs w:val="22"/>
        </w:rPr>
        <w:t>, URSCA students are also</w:t>
      </w:r>
      <w:r w:rsidR="00DF7CDD" w:rsidRPr="00512B84">
        <w:rPr>
          <w:rFonts w:asciiTheme="minorHAnsi" w:hAnsiTheme="minorHAnsi"/>
          <w:sz w:val="22"/>
          <w:szCs w:val="22"/>
        </w:rPr>
        <w:t xml:space="preserve"> eligible and</w:t>
      </w:r>
      <w:r w:rsidR="00C030D9" w:rsidRPr="00512B84">
        <w:rPr>
          <w:rFonts w:asciiTheme="minorHAnsi" w:hAnsiTheme="minorHAnsi"/>
          <w:sz w:val="22"/>
          <w:szCs w:val="22"/>
        </w:rPr>
        <w:t xml:space="preserve"> strongly encouraged to apply for funding to present at the National Conference on Undergraduate Research (NCUR)</w:t>
      </w:r>
      <w:r w:rsidR="00DF7CDD" w:rsidRPr="00512B84">
        <w:rPr>
          <w:rFonts w:asciiTheme="minorHAnsi" w:hAnsiTheme="minorHAnsi"/>
          <w:sz w:val="22"/>
          <w:szCs w:val="22"/>
        </w:rPr>
        <w:t xml:space="preserve">.  </w:t>
      </w:r>
      <w:r w:rsidR="00512B84" w:rsidRPr="00512B84">
        <w:rPr>
          <w:rFonts w:asciiTheme="minorHAnsi" w:hAnsiTheme="minorHAnsi"/>
          <w:sz w:val="22"/>
          <w:szCs w:val="22"/>
        </w:rPr>
        <w:t>(Funding for</w:t>
      </w:r>
      <w:r w:rsidR="00F26238" w:rsidRPr="00512B84">
        <w:rPr>
          <w:rFonts w:asciiTheme="minorHAnsi" w:hAnsiTheme="minorHAnsi"/>
          <w:sz w:val="22"/>
          <w:szCs w:val="22"/>
        </w:rPr>
        <w:t xml:space="preserve"> UWRF students who wish to travel to NCUR are handled in a group at the time of conference registration, in February, after acceptances have been announced.</w:t>
      </w:r>
      <w:r w:rsidR="00512B84" w:rsidRPr="00512B84">
        <w:rPr>
          <w:rFonts w:asciiTheme="minorHAnsi" w:hAnsiTheme="minorHAnsi"/>
          <w:sz w:val="22"/>
          <w:szCs w:val="22"/>
        </w:rPr>
        <w:t>)</w:t>
      </w:r>
      <w:r w:rsidR="00F26238" w:rsidRPr="00512B84">
        <w:rPr>
          <w:rFonts w:asciiTheme="minorHAnsi" w:hAnsiTheme="minorHAnsi"/>
          <w:sz w:val="22"/>
          <w:szCs w:val="22"/>
        </w:rPr>
        <w:t xml:space="preserve">   </w:t>
      </w:r>
    </w:p>
    <w:p w14:paraId="4A865E68" w14:textId="77777777" w:rsidR="00C030D9" w:rsidRPr="00512B84" w:rsidRDefault="00C030D9" w:rsidP="00C030D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Undergraduates receiving a Falcon Travel Grant must be currently enrolled at the time of travel.</w:t>
      </w:r>
    </w:p>
    <w:p w14:paraId="1FE0AA4E" w14:textId="77777777" w:rsidR="00C030D9" w:rsidRPr="00512B84" w:rsidRDefault="00B735F5" w:rsidP="00C030D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 xml:space="preserve">Students </w:t>
      </w:r>
      <w:r w:rsidR="001D565A" w:rsidRPr="00512B84">
        <w:rPr>
          <w:rFonts w:asciiTheme="minorHAnsi" w:hAnsiTheme="minorHAnsi"/>
          <w:sz w:val="22"/>
          <w:szCs w:val="22"/>
        </w:rPr>
        <w:t xml:space="preserve">funded </w:t>
      </w:r>
      <w:r w:rsidR="00C030D9" w:rsidRPr="00512B84">
        <w:rPr>
          <w:rFonts w:asciiTheme="minorHAnsi" w:hAnsiTheme="minorHAnsi"/>
          <w:sz w:val="22"/>
          <w:szCs w:val="22"/>
        </w:rPr>
        <w:t xml:space="preserve">through Falcon Travel Grants </w:t>
      </w:r>
      <w:r w:rsidR="001D565A" w:rsidRPr="00512B84">
        <w:rPr>
          <w:rFonts w:asciiTheme="minorHAnsi" w:hAnsiTheme="minorHAnsi"/>
          <w:sz w:val="22"/>
          <w:szCs w:val="22"/>
        </w:rPr>
        <w:t>t</w:t>
      </w:r>
      <w:r w:rsidR="00C030D9" w:rsidRPr="00512B84">
        <w:rPr>
          <w:rFonts w:asciiTheme="minorHAnsi" w:hAnsiTheme="minorHAnsi"/>
          <w:sz w:val="22"/>
          <w:szCs w:val="22"/>
        </w:rPr>
        <w:t>o present/display their URSCA</w:t>
      </w:r>
      <w:r w:rsidR="001D565A" w:rsidRPr="00512B84">
        <w:rPr>
          <w:rFonts w:asciiTheme="minorHAnsi" w:hAnsiTheme="minorHAnsi"/>
          <w:sz w:val="22"/>
          <w:szCs w:val="22"/>
        </w:rPr>
        <w:t xml:space="preserve"> project</w:t>
      </w:r>
      <w:r w:rsidR="00C030D9" w:rsidRPr="00512B84">
        <w:rPr>
          <w:rFonts w:asciiTheme="minorHAnsi" w:hAnsiTheme="minorHAnsi"/>
          <w:sz w:val="22"/>
          <w:szCs w:val="22"/>
        </w:rPr>
        <w:t>s</w:t>
      </w:r>
      <w:r w:rsidR="001D565A" w:rsidRPr="00512B84">
        <w:rPr>
          <w:rFonts w:asciiTheme="minorHAnsi" w:hAnsiTheme="minorHAnsi"/>
          <w:sz w:val="22"/>
          <w:szCs w:val="22"/>
        </w:rPr>
        <w:t xml:space="preserve"> </w:t>
      </w:r>
      <w:r w:rsidR="00C030D9" w:rsidRPr="00512B84">
        <w:rPr>
          <w:rFonts w:asciiTheme="minorHAnsi" w:hAnsiTheme="minorHAnsi"/>
          <w:sz w:val="22"/>
          <w:szCs w:val="22"/>
        </w:rPr>
        <w:t>are</w:t>
      </w:r>
      <w:r w:rsidRPr="00512B84">
        <w:rPr>
          <w:rFonts w:asciiTheme="minorHAnsi" w:hAnsiTheme="minorHAnsi"/>
          <w:sz w:val="22"/>
          <w:szCs w:val="22"/>
        </w:rPr>
        <w:t xml:space="preserve"> required to </w:t>
      </w:r>
      <w:r w:rsidR="00C030D9" w:rsidRPr="00512B84">
        <w:rPr>
          <w:rFonts w:asciiTheme="minorHAnsi" w:hAnsiTheme="minorHAnsi"/>
          <w:sz w:val="22"/>
          <w:szCs w:val="22"/>
        </w:rPr>
        <w:t>also showcase their work on the UWRF campus at</w:t>
      </w:r>
      <w:r w:rsidRPr="00512B84">
        <w:rPr>
          <w:rFonts w:asciiTheme="minorHAnsi" w:hAnsiTheme="minorHAnsi"/>
          <w:sz w:val="22"/>
          <w:szCs w:val="22"/>
        </w:rPr>
        <w:t xml:space="preserve"> either the Fall Gala or Spring RSCA Day</w:t>
      </w:r>
      <w:r w:rsidR="00F26238" w:rsidRPr="00512B84">
        <w:rPr>
          <w:rFonts w:asciiTheme="minorHAnsi" w:hAnsiTheme="minorHAnsi"/>
          <w:sz w:val="22"/>
          <w:szCs w:val="22"/>
        </w:rPr>
        <w:t>.</w:t>
      </w:r>
      <w:r w:rsidRPr="00512B84">
        <w:rPr>
          <w:rFonts w:asciiTheme="minorHAnsi" w:hAnsiTheme="minorHAnsi"/>
          <w:sz w:val="22"/>
          <w:szCs w:val="22"/>
        </w:rPr>
        <w:t xml:space="preserve">  </w:t>
      </w:r>
    </w:p>
    <w:p w14:paraId="08F222BE" w14:textId="6AB36C4F" w:rsidR="00C030D9" w:rsidRPr="00512B84" w:rsidRDefault="00C030D9" w:rsidP="00C030D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 xml:space="preserve">All travel arrangements and reimbursements must adhere to UW-System travel policies found at </w:t>
      </w:r>
      <w:hyperlink r:id="rId11" w:history="1">
        <w:r w:rsidR="00E9100C" w:rsidRPr="00EF284E">
          <w:rPr>
            <w:rStyle w:val="Hyperlink"/>
          </w:rPr>
          <w:t>https://www.wisconsin.edu/travel/uw-river-falls-travel/</w:t>
        </w:r>
      </w:hyperlink>
      <w:r w:rsidR="00E9100C">
        <w:t xml:space="preserve"> </w:t>
      </w:r>
      <w:r w:rsidRPr="00512B84">
        <w:rPr>
          <w:rFonts w:asciiTheme="minorHAnsi" w:hAnsiTheme="minorHAnsi"/>
          <w:sz w:val="22"/>
          <w:szCs w:val="22"/>
        </w:rPr>
        <w:t>Note that per state guidelines for differential tuition funds, the Falcon Travel Grant cannot be used to purchase food or beverages.</w:t>
      </w:r>
    </w:p>
    <w:p w14:paraId="4C2B9389" w14:textId="77777777" w:rsidR="00F26238" w:rsidRPr="00512B84" w:rsidRDefault="00F26238" w:rsidP="00F26238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Falcon Travel Grants do not cover cost of dissemination materials (i.e. poster printing).</w:t>
      </w:r>
    </w:p>
    <w:p w14:paraId="3EC7D7AB" w14:textId="77777777" w:rsidR="00C030D9" w:rsidRPr="00512B84" w:rsidRDefault="00C030D9" w:rsidP="00C030D9">
      <w:pPr>
        <w:pStyle w:val="ListParagraph"/>
        <w:rPr>
          <w:rFonts w:asciiTheme="minorHAnsi" w:hAnsiTheme="minorHAnsi"/>
          <w:sz w:val="22"/>
          <w:szCs w:val="22"/>
        </w:rPr>
      </w:pPr>
    </w:p>
    <w:p w14:paraId="13A9A05A" w14:textId="77777777" w:rsidR="00C030D9" w:rsidRPr="00512B84" w:rsidRDefault="00C030D9" w:rsidP="00C030D9">
      <w:p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Review:</w:t>
      </w:r>
    </w:p>
    <w:p w14:paraId="6D795F61" w14:textId="77777777" w:rsidR="00463163" w:rsidRPr="00512B84" w:rsidRDefault="00C030D9" w:rsidP="00B61850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All application</w:t>
      </w:r>
      <w:r w:rsidR="00800EE6" w:rsidRPr="00512B84">
        <w:rPr>
          <w:rFonts w:asciiTheme="minorHAnsi" w:hAnsiTheme="minorHAnsi"/>
          <w:sz w:val="22"/>
          <w:szCs w:val="22"/>
        </w:rPr>
        <w:t>s</w:t>
      </w:r>
      <w:r w:rsidRPr="00512B84">
        <w:rPr>
          <w:rFonts w:asciiTheme="minorHAnsi" w:hAnsiTheme="minorHAnsi"/>
          <w:sz w:val="22"/>
          <w:szCs w:val="22"/>
        </w:rPr>
        <w:t xml:space="preserve"> will be evaluated by SURSCA.</w:t>
      </w:r>
    </w:p>
    <w:p w14:paraId="644CFF67" w14:textId="77777777" w:rsidR="00B61850" w:rsidRPr="00512B84" w:rsidRDefault="00B61850" w:rsidP="00B61850">
      <w:pPr>
        <w:rPr>
          <w:rFonts w:asciiTheme="minorHAnsi" w:hAnsiTheme="minorHAnsi"/>
          <w:sz w:val="22"/>
          <w:szCs w:val="22"/>
        </w:rPr>
      </w:pPr>
    </w:p>
    <w:p w14:paraId="78EEF34C" w14:textId="77777777" w:rsidR="00B61850" w:rsidRPr="00512B84" w:rsidRDefault="00B61850" w:rsidP="00B61850">
      <w:p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lastRenderedPageBreak/>
        <w:t>Notification of Award:</w:t>
      </w:r>
    </w:p>
    <w:p w14:paraId="01F8A57F" w14:textId="77777777" w:rsidR="00B61850" w:rsidRPr="00512B84" w:rsidRDefault="00B61850" w:rsidP="00B61850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512B84">
        <w:rPr>
          <w:rFonts w:asciiTheme="minorHAnsi" w:hAnsiTheme="minorHAnsi"/>
          <w:sz w:val="22"/>
          <w:szCs w:val="22"/>
        </w:rPr>
        <w:t>The Office of Undergraduate Research, Scholarly and Creative Activity will notify award recipients, typically within 6 weeks of the grant deadline. </w:t>
      </w:r>
    </w:p>
    <w:sectPr w:rsidR="00B61850" w:rsidRPr="00512B84" w:rsidSect="00512B84">
      <w:headerReference w:type="default" r:id="rId12"/>
      <w:footerReference w:type="default" r:id="rId13"/>
      <w:type w:val="continuous"/>
      <w:pgSz w:w="12240" w:h="15840"/>
      <w:pgMar w:top="1296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39D2" w14:textId="77777777" w:rsidR="00F01C42" w:rsidRDefault="00F01C42" w:rsidP="0070309B">
      <w:r>
        <w:separator/>
      </w:r>
    </w:p>
  </w:endnote>
  <w:endnote w:type="continuationSeparator" w:id="0">
    <w:p w14:paraId="34E9CB0A" w14:textId="77777777" w:rsidR="00F01C42" w:rsidRDefault="00F01C42" w:rsidP="007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CEC" w14:textId="77777777" w:rsidR="005D7FA1" w:rsidRPr="00EC50A1" w:rsidRDefault="005D7FA1">
    <w:pPr>
      <w:pStyle w:val="Footer"/>
      <w:jc w:val="center"/>
      <w:rPr>
        <w:rFonts w:asciiTheme="minorHAnsi" w:hAnsiTheme="minorHAnsi"/>
      </w:rPr>
    </w:pPr>
  </w:p>
  <w:p w14:paraId="7BD6F5F8" w14:textId="77777777" w:rsidR="005D7FA1" w:rsidRDefault="005D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51657256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B5919CC" w14:textId="77777777" w:rsidR="005D7FA1" w:rsidRPr="00EC50A1" w:rsidRDefault="005D7FA1">
            <w:pPr>
              <w:pStyle w:val="Footer"/>
              <w:jc w:val="center"/>
              <w:rPr>
                <w:rFonts w:asciiTheme="minorHAnsi" w:hAnsiTheme="minorHAnsi"/>
                <w:sz w:val="22"/>
              </w:rPr>
            </w:pPr>
            <w:r w:rsidRPr="00EC50A1">
              <w:rPr>
                <w:rFonts w:asciiTheme="minorHAnsi" w:hAnsiTheme="minorHAnsi"/>
                <w:sz w:val="22"/>
              </w:rPr>
              <w:t xml:space="preserve">Page </w:t>
            </w:r>
            <w:r w:rsidRPr="00EC50A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EC50A1">
              <w:rPr>
                <w:rFonts w:asciiTheme="minorHAnsi" w:hAnsiTheme="minorHAnsi"/>
                <w:bCs/>
                <w:sz w:val="22"/>
              </w:rPr>
              <w:instrText xml:space="preserve"> PAGE </w:instrText>
            </w:r>
            <w:r w:rsidRPr="00EC50A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512B84">
              <w:rPr>
                <w:rFonts w:asciiTheme="minorHAnsi" w:hAnsiTheme="minorHAnsi"/>
                <w:bCs/>
                <w:noProof/>
                <w:sz w:val="22"/>
              </w:rPr>
              <w:t>2</w:t>
            </w:r>
            <w:r w:rsidRPr="00EC50A1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EC50A1">
              <w:rPr>
                <w:rFonts w:asciiTheme="minorHAnsi" w:hAnsiTheme="minorHAnsi"/>
                <w:sz w:val="22"/>
              </w:rPr>
              <w:t xml:space="preserve"> of </w:t>
            </w:r>
            <w:r w:rsidRPr="00EC50A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EC50A1">
              <w:rPr>
                <w:rFonts w:asciiTheme="minorHAnsi" w:hAnsiTheme="minorHAnsi"/>
                <w:bCs/>
                <w:sz w:val="22"/>
              </w:rPr>
              <w:instrText xml:space="preserve"> NUMPAGES  </w:instrText>
            </w:r>
            <w:r w:rsidRPr="00EC50A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273FCB">
              <w:rPr>
                <w:rFonts w:asciiTheme="minorHAnsi" w:hAnsiTheme="minorHAnsi"/>
                <w:bCs/>
                <w:noProof/>
                <w:sz w:val="22"/>
              </w:rPr>
              <w:t>1</w:t>
            </w:r>
            <w:r w:rsidRPr="00EC50A1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14:paraId="543FA1B1" w14:textId="77777777" w:rsidR="005D7FA1" w:rsidRDefault="005D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B136" w14:textId="77777777" w:rsidR="00F01C42" w:rsidRDefault="00F01C42" w:rsidP="0070309B">
      <w:r>
        <w:separator/>
      </w:r>
    </w:p>
  </w:footnote>
  <w:footnote w:type="continuationSeparator" w:id="0">
    <w:p w14:paraId="34D1F5E7" w14:textId="77777777" w:rsidR="00F01C42" w:rsidRDefault="00F01C42" w:rsidP="0070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8EF2" w14:textId="77777777" w:rsidR="005D7FA1" w:rsidRDefault="005D7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97E"/>
    <w:multiLevelType w:val="hybridMultilevel"/>
    <w:tmpl w:val="55ECB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12ED"/>
    <w:multiLevelType w:val="hybridMultilevel"/>
    <w:tmpl w:val="8528EE7E"/>
    <w:lvl w:ilvl="0" w:tplc="D90EA9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D7486E"/>
    <w:multiLevelType w:val="hybridMultilevel"/>
    <w:tmpl w:val="A2B2385A"/>
    <w:lvl w:ilvl="0" w:tplc="CC8E17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35AD"/>
    <w:multiLevelType w:val="hybridMultilevel"/>
    <w:tmpl w:val="09568F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448D"/>
    <w:multiLevelType w:val="multilevel"/>
    <w:tmpl w:val="4AB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42B34"/>
    <w:multiLevelType w:val="hybridMultilevel"/>
    <w:tmpl w:val="A8569CEC"/>
    <w:lvl w:ilvl="0" w:tplc="2FF66B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C20B11"/>
    <w:multiLevelType w:val="hybridMultilevel"/>
    <w:tmpl w:val="867A9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07D34"/>
    <w:multiLevelType w:val="hybridMultilevel"/>
    <w:tmpl w:val="20E0BD70"/>
    <w:lvl w:ilvl="0" w:tplc="8724D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46525"/>
    <w:multiLevelType w:val="hybridMultilevel"/>
    <w:tmpl w:val="E70A2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5B04"/>
    <w:multiLevelType w:val="multilevel"/>
    <w:tmpl w:val="F090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101E1"/>
    <w:multiLevelType w:val="multilevel"/>
    <w:tmpl w:val="9E744A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F1EEC"/>
    <w:multiLevelType w:val="hybridMultilevel"/>
    <w:tmpl w:val="75604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50A9"/>
    <w:multiLevelType w:val="hybridMultilevel"/>
    <w:tmpl w:val="67BC0D5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4B9962B2"/>
    <w:multiLevelType w:val="hybridMultilevel"/>
    <w:tmpl w:val="3AAE9D4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4C74316B"/>
    <w:multiLevelType w:val="hybridMultilevel"/>
    <w:tmpl w:val="30102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09A"/>
    <w:multiLevelType w:val="hybridMultilevel"/>
    <w:tmpl w:val="D6286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01B9"/>
    <w:multiLevelType w:val="hybridMultilevel"/>
    <w:tmpl w:val="20EA0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7F86"/>
    <w:multiLevelType w:val="hybridMultilevel"/>
    <w:tmpl w:val="2ED885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C3891"/>
    <w:multiLevelType w:val="hybridMultilevel"/>
    <w:tmpl w:val="AF1E9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C55E97"/>
    <w:multiLevelType w:val="hybridMultilevel"/>
    <w:tmpl w:val="139A6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E32DA"/>
    <w:multiLevelType w:val="hybridMultilevel"/>
    <w:tmpl w:val="1264FE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471D55"/>
    <w:multiLevelType w:val="hybridMultilevel"/>
    <w:tmpl w:val="B94A03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92BE3"/>
    <w:multiLevelType w:val="hybridMultilevel"/>
    <w:tmpl w:val="33B649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59695C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3115"/>
    <w:multiLevelType w:val="multilevel"/>
    <w:tmpl w:val="4D3A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C265A"/>
    <w:multiLevelType w:val="hybridMultilevel"/>
    <w:tmpl w:val="11009C6A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63735115">
    <w:abstractNumId w:val="17"/>
  </w:num>
  <w:num w:numId="2" w16cid:durableId="1795320976">
    <w:abstractNumId w:val="13"/>
  </w:num>
  <w:num w:numId="3" w16cid:durableId="2111663508">
    <w:abstractNumId w:val="12"/>
  </w:num>
  <w:num w:numId="4" w16cid:durableId="763839742">
    <w:abstractNumId w:val="22"/>
  </w:num>
  <w:num w:numId="5" w16cid:durableId="138228997">
    <w:abstractNumId w:val="20"/>
  </w:num>
  <w:num w:numId="6" w16cid:durableId="1809005556">
    <w:abstractNumId w:val="0"/>
  </w:num>
  <w:num w:numId="7" w16cid:durableId="1775708041">
    <w:abstractNumId w:val="2"/>
  </w:num>
  <w:num w:numId="8" w16cid:durableId="604924509">
    <w:abstractNumId w:val="7"/>
  </w:num>
  <w:num w:numId="9" w16cid:durableId="1864174663">
    <w:abstractNumId w:val="1"/>
  </w:num>
  <w:num w:numId="10" w16cid:durableId="408818313">
    <w:abstractNumId w:val="5"/>
  </w:num>
  <w:num w:numId="11" w16cid:durableId="1095832454">
    <w:abstractNumId w:val="24"/>
  </w:num>
  <w:num w:numId="12" w16cid:durableId="43143071">
    <w:abstractNumId w:val="11"/>
  </w:num>
  <w:num w:numId="13" w16cid:durableId="770013517">
    <w:abstractNumId w:val="6"/>
  </w:num>
  <w:num w:numId="14" w16cid:durableId="516115477">
    <w:abstractNumId w:val="18"/>
  </w:num>
  <w:num w:numId="15" w16cid:durableId="1462655539">
    <w:abstractNumId w:val="8"/>
  </w:num>
  <w:num w:numId="16" w16cid:durableId="1356225224">
    <w:abstractNumId w:val="4"/>
  </w:num>
  <w:num w:numId="17" w16cid:durableId="1278754785">
    <w:abstractNumId w:val="10"/>
  </w:num>
  <w:num w:numId="18" w16cid:durableId="2001423338">
    <w:abstractNumId w:val="14"/>
  </w:num>
  <w:num w:numId="19" w16cid:durableId="753478709">
    <w:abstractNumId w:val="19"/>
  </w:num>
  <w:num w:numId="20" w16cid:durableId="771166621">
    <w:abstractNumId w:val="21"/>
  </w:num>
  <w:num w:numId="21" w16cid:durableId="1000935798">
    <w:abstractNumId w:val="3"/>
  </w:num>
  <w:num w:numId="22" w16cid:durableId="2038695875">
    <w:abstractNumId w:val="15"/>
  </w:num>
  <w:num w:numId="23" w16cid:durableId="88240555">
    <w:abstractNumId w:val="16"/>
  </w:num>
  <w:num w:numId="24" w16cid:durableId="1441686054">
    <w:abstractNumId w:val="23"/>
  </w:num>
  <w:num w:numId="25" w16cid:durableId="1617179100">
    <w:abstractNumId w:val="9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8433">
      <o:colormru v:ext="edit" colors="#e8e8e8,#e801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CD"/>
    <w:rsid w:val="000043AB"/>
    <w:rsid w:val="00022327"/>
    <w:rsid w:val="000306C6"/>
    <w:rsid w:val="0003500A"/>
    <w:rsid w:val="00057F6C"/>
    <w:rsid w:val="00083F4C"/>
    <w:rsid w:val="00085ED5"/>
    <w:rsid w:val="000A241D"/>
    <w:rsid w:val="000B343A"/>
    <w:rsid w:val="000C79C8"/>
    <w:rsid w:val="000E190F"/>
    <w:rsid w:val="001033A3"/>
    <w:rsid w:val="001048BE"/>
    <w:rsid w:val="00125FEE"/>
    <w:rsid w:val="00134DCE"/>
    <w:rsid w:val="00141446"/>
    <w:rsid w:val="00145DBC"/>
    <w:rsid w:val="00146AD2"/>
    <w:rsid w:val="001563C5"/>
    <w:rsid w:val="00162C0D"/>
    <w:rsid w:val="00164819"/>
    <w:rsid w:val="00167305"/>
    <w:rsid w:val="001860B4"/>
    <w:rsid w:val="001A2756"/>
    <w:rsid w:val="001B2A58"/>
    <w:rsid w:val="001C5D70"/>
    <w:rsid w:val="001D565A"/>
    <w:rsid w:val="001D739A"/>
    <w:rsid w:val="001E5829"/>
    <w:rsid w:val="00225245"/>
    <w:rsid w:val="00236226"/>
    <w:rsid w:val="0024018F"/>
    <w:rsid w:val="0024347A"/>
    <w:rsid w:val="00273FCB"/>
    <w:rsid w:val="002C25EE"/>
    <w:rsid w:val="002E0447"/>
    <w:rsid w:val="002E4D14"/>
    <w:rsid w:val="002E5E8E"/>
    <w:rsid w:val="002F1123"/>
    <w:rsid w:val="002F2AB8"/>
    <w:rsid w:val="002F629D"/>
    <w:rsid w:val="00301C2C"/>
    <w:rsid w:val="003057E3"/>
    <w:rsid w:val="00322E9D"/>
    <w:rsid w:val="00331B8C"/>
    <w:rsid w:val="0035209F"/>
    <w:rsid w:val="00367D74"/>
    <w:rsid w:val="00383657"/>
    <w:rsid w:val="003A10F0"/>
    <w:rsid w:val="003E0BAE"/>
    <w:rsid w:val="00422187"/>
    <w:rsid w:val="00463163"/>
    <w:rsid w:val="00472D33"/>
    <w:rsid w:val="004734FA"/>
    <w:rsid w:val="00480D6E"/>
    <w:rsid w:val="00485949"/>
    <w:rsid w:val="004A6B42"/>
    <w:rsid w:val="004B3E2A"/>
    <w:rsid w:val="004B4CDA"/>
    <w:rsid w:val="004C237C"/>
    <w:rsid w:val="004C674D"/>
    <w:rsid w:val="004D7415"/>
    <w:rsid w:val="005005B5"/>
    <w:rsid w:val="00512548"/>
    <w:rsid w:val="00512B84"/>
    <w:rsid w:val="00526B8E"/>
    <w:rsid w:val="005277C3"/>
    <w:rsid w:val="00527A4D"/>
    <w:rsid w:val="0054327D"/>
    <w:rsid w:val="005920AE"/>
    <w:rsid w:val="005A0D2F"/>
    <w:rsid w:val="005A66E5"/>
    <w:rsid w:val="005A6B53"/>
    <w:rsid w:val="005B32E5"/>
    <w:rsid w:val="005D786C"/>
    <w:rsid w:val="005D7FA1"/>
    <w:rsid w:val="00643BFD"/>
    <w:rsid w:val="00645328"/>
    <w:rsid w:val="00645A5E"/>
    <w:rsid w:val="00660D19"/>
    <w:rsid w:val="00666F69"/>
    <w:rsid w:val="00691364"/>
    <w:rsid w:val="006926CA"/>
    <w:rsid w:val="00693E00"/>
    <w:rsid w:val="006B5A48"/>
    <w:rsid w:val="006B7A08"/>
    <w:rsid w:val="006C57D3"/>
    <w:rsid w:val="006D4F4B"/>
    <w:rsid w:val="006E240A"/>
    <w:rsid w:val="0070309B"/>
    <w:rsid w:val="00715FBC"/>
    <w:rsid w:val="00754D5D"/>
    <w:rsid w:val="00772F68"/>
    <w:rsid w:val="00775FEB"/>
    <w:rsid w:val="00776C0C"/>
    <w:rsid w:val="007818F1"/>
    <w:rsid w:val="007B1D66"/>
    <w:rsid w:val="007B419A"/>
    <w:rsid w:val="007B4BCA"/>
    <w:rsid w:val="007D1805"/>
    <w:rsid w:val="007E0CEA"/>
    <w:rsid w:val="00800EE6"/>
    <w:rsid w:val="008047B0"/>
    <w:rsid w:val="0083007C"/>
    <w:rsid w:val="008353D9"/>
    <w:rsid w:val="00836C75"/>
    <w:rsid w:val="00865783"/>
    <w:rsid w:val="00873577"/>
    <w:rsid w:val="0088722B"/>
    <w:rsid w:val="008A7446"/>
    <w:rsid w:val="008B51CB"/>
    <w:rsid w:val="008C72F2"/>
    <w:rsid w:val="009065D4"/>
    <w:rsid w:val="00913AE8"/>
    <w:rsid w:val="00920681"/>
    <w:rsid w:val="00921973"/>
    <w:rsid w:val="009313DE"/>
    <w:rsid w:val="0096149C"/>
    <w:rsid w:val="009C2667"/>
    <w:rsid w:val="009C2E02"/>
    <w:rsid w:val="009C7853"/>
    <w:rsid w:val="009C7AAB"/>
    <w:rsid w:val="009D0A78"/>
    <w:rsid w:val="009E63DE"/>
    <w:rsid w:val="009F005A"/>
    <w:rsid w:val="00A033C9"/>
    <w:rsid w:val="00A03A9F"/>
    <w:rsid w:val="00A0400E"/>
    <w:rsid w:val="00A402A0"/>
    <w:rsid w:val="00A40BDB"/>
    <w:rsid w:val="00A50B1B"/>
    <w:rsid w:val="00A776D7"/>
    <w:rsid w:val="00A944CD"/>
    <w:rsid w:val="00AA78DA"/>
    <w:rsid w:val="00AE3731"/>
    <w:rsid w:val="00AF66A3"/>
    <w:rsid w:val="00B014FD"/>
    <w:rsid w:val="00B13AA8"/>
    <w:rsid w:val="00B172FE"/>
    <w:rsid w:val="00B273BE"/>
    <w:rsid w:val="00B425E9"/>
    <w:rsid w:val="00B464A9"/>
    <w:rsid w:val="00B61850"/>
    <w:rsid w:val="00B671BC"/>
    <w:rsid w:val="00B735F5"/>
    <w:rsid w:val="00B874C6"/>
    <w:rsid w:val="00B96B3D"/>
    <w:rsid w:val="00BA094D"/>
    <w:rsid w:val="00BC464F"/>
    <w:rsid w:val="00BD2C27"/>
    <w:rsid w:val="00BE588C"/>
    <w:rsid w:val="00BF72B7"/>
    <w:rsid w:val="00C030D9"/>
    <w:rsid w:val="00C11BBC"/>
    <w:rsid w:val="00C1401F"/>
    <w:rsid w:val="00C36985"/>
    <w:rsid w:val="00C7305C"/>
    <w:rsid w:val="00C83B5D"/>
    <w:rsid w:val="00CB26AA"/>
    <w:rsid w:val="00CD5DFC"/>
    <w:rsid w:val="00CE51A1"/>
    <w:rsid w:val="00D0090E"/>
    <w:rsid w:val="00D04A07"/>
    <w:rsid w:val="00D14C29"/>
    <w:rsid w:val="00D21E04"/>
    <w:rsid w:val="00D443D5"/>
    <w:rsid w:val="00D52F14"/>
    <w:rsid w:val="00D5713D"/>
    <w:rsid w:val="00D60FB9"/>
    <w:rsid w:val="00D77316"/>
    <w:rsid w:val="00DA6E44"/>
    <w:rsid w:val="00DB4640"/>
    <w:rsid w:val="00DB7983"/>
    <w:rsid w:val="00DC2525"/>
    <w:rsid w:val="00DC318D"/>
    <w:rsid w:val="00DF7CDD"/>
    <w:rsid w:val="00E018BD"/>
    <w:rsid w:val="00E23FDB"/>
    <w:rsid w:val="00E41C5D"/>
    <w:rsid w:val="00E552AF"/>
    <w:rsid w:val="00E9100C"/>
    <w:rsid w:val="00E91D6D"/>
    <w:rsid w:val="00E92DE6"/>
    <w:rsid w:val="00EA499E"/>
    <w:rsid w:val="00EA4E86"/>
    <w:rsid w:val="00EB25F6"/>
    <w:rsid w:val="00EC50A1"/>
    <w:rsid w:val="00EC5A14"/>
    <w:rsid w:val="00ED274D"/>
    <w:rsid w:val="00EE1D46"/>
    <w:rsid w:val="00F01C42"/>
    <w:rsid w:val="00F06B7F"/>
    <w:rsid w:val="00F22B0B"/>
    <w:rsid w:val="00F2525F"/>
    <w:rsid w:val="00F26238"/>
    <w:rsid w:val="00F55960"/>
    <w:rsid w:val="00F559DC"/>
    <w:rsid w:val="00F77CCC"/>
    <w:rsid w:val="00F83F00"/>
    <w:rsid w:val="00F877C2"/>
    <w:rsid w:val="00F93DD1"/>
    <w:rsid w:val="00F96B0E"/>
    <w:rsid w:val="00FB34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o:colormru v:ext="edit" colors="#e8e8e8,#e8012b"/>
    </o:shapedefaults>
    <o:shapelayout v:ext="edit">
      <o:idmap v:ext="edit" data="1"/>
    </o:shapelayout>
  </w:shapeDefaults>
  <w:doNotEmbedSmartTags/>
  <w:decimalSymbol w:val="."/>
  <w:listSeparator w:val=","/>
  <w14:docId w14:val="799C0DDA"/>
  <w15:docId w15:val="{45684644-C8E0-4582-9B92-C34483A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E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0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0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9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70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30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3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09B"/>
    <w:rPr>
      <w:sz w:val="24"/>
      <w:szCs w:val="24"/>
    </w:rPr>
  </w:style>
  <w:style w:type="character" w:styleId="Hyperlink">
    <w:name w:val="Hyperlink"/>
    <w:basedOn w:val="DefaultParagraphFont"/>
    <w:rsid w:val="00920681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DA6E44"/>
    <w:pPr>
      <w:ind w:left="720"/>
    </w:pPr>
  </w:style>
  <w:style w:type="paragraph" w:styleId="BodyText">
    <w:name w:val="Body Text"/>
    <w:basedOn w:val="Normal"/>
    <w:link w:val="BodyTextChar"/>
    <w:rsid w:val="00480D6E"/>
    <w:pPr>
      <w:jc w:val="center"/>
    </w:pPr>
    <w:rPr>
      <w:rFonts w:ascii="Arial" w:eastAsia="Times New Roman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80D6E"/>
    <w:rPr>
      <w:rFonts w:ascii="Arial" w:eastAsia="Times New Roman" w:hAnsi="Arial"/>
      <w:sz w:val="28"/>
    </w:rPr>
  </w:style>
  <w:style w:type="paragraph" w:styleId="BodyText2">
    <w:name w:val="Body Text 2"/>
    <w:basedOn w:val="Normal"/>
    <w:link w:val="BodyText2Char"/>
    <w:rsid w:val="00C730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05C"/>
    <w:rPr>
      <w:sz w:val="24"/>
      <w:szCs w:val="24"/>
    </w:rPr>
  </w:style>
  <w:style w:type="paragraph" w:styleId="Revision">
    <w:name w:val="Revision"/>
    <w:hidden/>
    <w:rsid w:val="00F877C2"/>
    <w:rPr>
      <w:sz w:val="24"/>
      <w:szCs w:val="24"/>
    </w:rPr>
  </w:style>
  <w:style w:type="paragraph" w:styleId="NormalWeb">
    <w:name w:val="Normal (Web)"/>
    <w:basedOn w:val="Normal"/>
    <w:rsid w:val="00E552A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tyle1">
    <w:name w:val="style1"/>
    <w:basedOn w:val="Normal"/>
    <w:rsid w:val="00D21E0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21E04"/>
    <w:rPr>
      <w:b/>
      <w:bCs/>
    </w:rPr>
  </w:style>
  <w:style w:type="character" w:customStyle="1" w:styleId="apple-converted-space">
    <w:name w:val="apple-converted-space"/>
    <w:basedOn w:val="DefaultParagraphFont"/>
    <w:rsid w:val="00512B84"/>
  </w:style>
  <w:style w:type="character" w:styleId="UnresolvedMention">
    <w:name w:val="Unresolved Mention"/>
    <w:basedOn w:val="DefaultParagraphFont"/>
    <w:uiPriority w:val="99"/>
    <w:semiHidden/>
    <w:unhideWhenUsed/>
    <w:rsid w:val="00E91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5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sconsin.edu/travel/uw-river-falls-trav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FA54-6B84-40F6-974F-4ED37D09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UWRF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Bredahl</dc:creator>
  <cp:lastModifiedBy>Serena Weber</cp:lastModifiedBy>
  <cp:revision>2</cp:revision>
  <cp:lastPrinted>2016-11-01T21:31:00Z</cp:lastPrinted>
  <dcterms:created xsi:type="dcterms:W3CDTF">2025-12-22T19:27:00Z</dcterms:created>
  <dcterms:modified xsi:type="dcterms:W3CDTF">2025-12-22T19:27:00Z</dcterms:modified>
</cp:coreProperties>
</file>